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13" w:rsidRDefault="00697613" w:rsidP="00697613">
      <w:pPr>
        <w:spacing w:before="100" w:beforeAutospacing="1" w:after="100" w:afterAutospacing="1"/>
        <w:jc w:val="center"/>
        <w:outlineLvl w:val="0"/>
        <w:rPr>
          <w:color w:val="000000" w:themeColor="text1"/>
          <w:sz w:val="24"/>
          <w:szCs w:val="24"/>
        </w:rPr>
      </w:pPr>
      <w:r>
        <w:rPr>
          <w:color w:val="000000" w:themeColor="text1"/>
          <w:sz w:val="24"/>
          <w:szCs w:val="24"/>
        </w:rPr>
        <w:t>AYUNTAMIENTO DE RIBERA ALTA</w:t>
      </w:r>
    </w:p>
    <w:p w:rsidR="00697613" w:rsidRDefault="00697613" w:rsidP="00697613">
      <w:pPr>
        <w:pStyle w:val="Textoindependiente2"/>
        <w:spacing w:before="100" w:beforeAutospacing="1" w:after="100" w:afterAutospacing="1" w:line="240" w:lineRule="auto"/>
        <w:jc w:val="center"/>
        <w:rPr>
          <w:color w:val="000000" w:themeColor="text1"/>
          <w:sz w:val="24"/>
          <w:szCs w:val="24"/>
        </w:rPr>
      </w:pPr>
      <w:r>
        <w:rPr>
          <w:color w:val="000000" w:themeColor="text1"/>
          <w:sz w:val="24"/>
          <w:szCs w:val="24"/>
        </w:rPr>
        <w:t xml:space="preserve">Subasta arrendamiento fincas en </w:t>
      </w:r>
      <w:proofErr w:type="spellStart"/>
      <w:r>
        <w:rPr>
          <w:color w:val="000000" w:themeColor="text1"/>
          <w:sz w:val="24"/>
          <w:szCs w:val="24"/>
        </w:rPr>
        <w:t>Arbígano</w:t>
      </w:r>
      <w:proofErr w:type="spellEnd"/>
    </w:p>
    <w:p w:rsidR="00697613" w:rsidRDefault="00697613" w:rsidP="00697613">
      <w:pPr>
        <w:pStyle w:val="Textoindependiente2"/>
        <w:spacing w:before="100" w:beforeAutospacing="1" w:after="100" w:afterAutospacing="1" w:line="240" w:lineRule="auto"/>
        <w:jc w:val="center"/>
        <w:rPr>
          <w:color w:val="000000" w:themeColor="text1"/>
          <w:sz w:val="24"/>
          <w:szCs w:val="24"/>
        </w:rPr>
      </w:pPr>
    </w:p>
    <w:p w:rsidR="00697613" w:rsidRDefault="00697613" w:rsidP="00697613">
      <w:pPr>
        <w:pStyle w:val="Textoindependiente2"/>
        <w:spacing w:before="100" w:beforeAutospacing="1" w:after="100" w:afterAutospacing="1" w:line="240" w:lineRule="auto"/>
        <w:ind w:firstLine="708"/>
        <w:jc w:val="both"/>
        <w:rPr>
          <w:color w:val="000000" w:themeColor="text1"/>
          <w:sz w:val="24"/>
          <w:szCs w:val="24"/>
        </w:rPr>
      </w:pPr>
      <w:r>
        <w:rPr>
          <w:color w:val="000000" w:themeColor="text1"/>
          <w:sz w:val="24"/>
          <w:szCs w:val="24"/>
        </w:rPr>
        <w:t>En sesión extraordinaria de Pleno válidamente celebrada el día 14 de septiembre de 2016,  por el ayuntamiento de Ribera Alta, fue aprobado provisionalmente el pliego de cláusulas administrativas particulares que regirá la subasta para la adjudicación del contrato de arrendamiento de las fincas de propios del ayuntamiento, el cual se expone al público durante el plazo de 8 días hábiles contados a partir del día siguiente al de publicación del presente anuncio en el BOTHA a efectos de reclamaciones.</w:t>
      </w:r>
    </w:p>
    <w:p w:rsidR="00697613" w:rsidRDefault="00697613" w:rsidP="00697613">
      <w:pPr>
        <w:spacing w:before="100" w:beforeAutospacing="1" w:after="100" w:afterAutospacing="1"/>
        <w:jc w:val="both"/>
        <w:rPr>
          <w:color w:val="000000" w:themeColor="text1"/>
          <w:sz w:val="24"/>
          <w:szCs w:val="24"/>
        </w:rPr>
      </w:pPr>
      <w:r>
        <w:rPr>
          <w:color w:val="000000" w:themeColor="text1"/>
          <w:sz w:val="24"/>
          <w:szCs w:val="24"/>
        </w:rPr>
        <w:tab/>
        <w:t>Simultáneamente y de conformidad con lo dispuesto en el artículo 122.2 del texto refundido de las disposiciones legales vigentes en materia de régimen local, se convoca el concurso público, si bien la licitación se aplazará, en el caso de que</w:t>
      </w:r>
      <w:r>
        <w:rPr>
          <w:color w:val="000000" w:themeColor="text1"/>
          <w:sz w:val="24"/>
          <w:szCs w:val="24"/>
        </w:rPr>
        <w:br/>
        <w:t>se formulasen reclamaciones contra el citado pliego de condiciones.</w:t>
      </w:r>
    </w:p>
    <w:p w:rsidR="00697613" w:rsidRDefault="00697613" w:rsidP="00697613">
      <w:pPr>
        <w:tabs>
          <w:tab w:val="left" w:pos="426"/>
          <w:tab w:val="left" w:pos="3119"/>
        </w:tabs>
        <w:spacing w:before="100" w:beforeAutospacing="1" w:after="100" w:afterAutospacing="1"/>
        <w:jc w:val="both"/>
        <w:rPr>
          <w:color w:val="000000" w:themeColor="text1"/>
          <w:sz w:val="24"/>
          <w:szCs w:val="24"/>
        </w:rPr>
      </w:pPr>
      <w:r>
        <w:rPr>
          <w:color w:val="000000" w:themeColor="text1"/>
          <w:sz w:val="24"/>
          <w:szCs w:val="24"/>
        </w:rPr>
        <w:t xml:space="preserve">Subasta para la adjudicación del contrato de arrendamiento de las fincas de propios del ayuntamiento. </w:t>
      </w:r>
    </w:p>
    <w:p w:rsidR="00697613" w:rsidRDefault="00697613" w:rsidP="00697613">
      <w:pPr>
        <w:tabs>
          <w:tab w:val="left" w:pos="426"/>
          <w:tab w:val="left" w:pos="3119"/>
        </w:tabs>
        <w:spacing w:before="100" w:beforeAutospacing="1" w:after="100" w:afterAutospacing="1"/>
        <w:jc w:val="both"/>
        <w:rPr>
          <w:color w:val="000000" w:themeColor="text1"/>
          <w:sz w:val="24"/>
          <w:szCs w:val="24"/>
        </w:rPr>
      </w:pPr>
      <w:r>
        <w:rPr>
          <w:color w:val="000000" w:themeColor="text1"/>
          <w:sz w:val="24"/>
          <w:szCs w:val="24"/>
        </w:rPr>
        <w:t>1.-</w:t>
      </w:r>
      <w:r>
        <w:rPr>
          <w:color w:val="000000" w:themeColor="text1"/>
          <w:sz w:val="24"/>
          <w:szCs w:val="24"/>
        </w:rPr>
        <w:tab/>
        <w:t>Entidad adjudicataria: ayuntamiento de Ribera Alta</w:t>
      </w:r>
    </w:p>
    <w:p w:rsidR="00697613" w:rsidRDefault="00697613" w:rsidP="00697613">
      <w:pPr>
        <w:tabs>
          <w:tab w:val="left" w:pos="426"/>
          <w:tab w:val="left" w:pos="3119"/>
        </w:tabs>
        <w:spacing w:before="100" w:beforeAutospacing="1" w:after="100" w:afterAutospacing="1"/>
        <w:jc w:val="both"/>
        <w:rPr>
          <w:color w:val="000000" w:themeColor="text1"/>
          <w:sz w:val="24"/>
          <w:szCs w:val="24"/>
        </w:rPr>
      </w:pPr>
      <w:r>
        <w:rPr>
          <w:color w:val="000000" w:themeColor="text1"/>
          <w:sz w:val="24"/>
          <w:szCs w:val="24"/>
        </w:rPr>
        <w:t>2.-</w:t>
      </w:r>
      <w:r>
        <w:rPr>
          <w:color w:val="000000" w:themeColor="text1"/>
          <w:sz w:val="24"/>
          <w:szCs w:val="24"/>
        </w:rPr>
        <w:tab/>
        <w:t>Objeto del contrato: subasta para la adjudicación del contrato de arrendamiento de las fincas de propios del ayuntamiento en los lotes que a continuación se detallan:</w:t>
      </w:r>
    </w:p>
    <w:p w:rsidR="00697613" w:rsidRDefault="00697613" w:rsidP="00697613">
      <w:pPr>
        <w:pStyle w:val="Encabezado"/>
        <w:tabs>
          <w:tab w:val="left" w:pos="708"/>
        </w:tabs>
        <w:jc w:val="both"/>
        <w:rPr>
          <w:color w:val="000000" w:themeColor="text1"/>
          <w:sz w:val="32"/>
          <w:szCs w:val="32"/>
        </w:rPr>
      </w:pPr>
      <w:r>
        <w:rPr>
          <w:color w:val="000000" w:themeColor="text1"/>
          <w:sz w:val="32"/>
          <w:szCs w:val="32"/>
        </w:rPr>
        <w:t>Lote 1</w:t>
      </w:r>
    </w:p>
    <w:tbl>
      <w:tblPr>
        <w:tblW w:w="0" w:type="auto"/>
        <w:tblLayout w:type="fixed"/>
        <w:tblCellMar>
          <w:left w:w="0" w:type="dxa"/>
          <w:right w:w="0" w:type="dxa"/>
        </w:tblCellMar>
        <w:tblLook w:val="04A0" w:firstRow="1" w:lastRow="0" w:firstColumn="1" w:lastColumn="0" w:noHBand="0" w:noVBand="1"/>
      </w:tblPr>
      <w:tblGrid>
        <w:gridCol w:w="2416"/>
        <w:gridCol w:w="6224"/>
      </w:tblGrid>
      <w:tr w:rsidR="00697613" w:rsidTr="00697613">
        <w:trPr>
          <w:trHeight w:hRule="exact" w:val="475"/>
        </w:trPr>
        <w:tc>
          <w:tcPr>
            <w:tcW w:w="2416" w:type="dxa"/>
            <w:tcBorders>
              <w:top w:val="single" w:sz="6" w:space="0" w:color="000000"/>
              <w:left w:val="nil"/>
              <w:bottom w:val="nil"/>
              <w:right w:val="nil"/>
            </w:tcBorders>
            <w:vAlign w:val="bottom"/>
            <w:hideMark/>
          </w:tcPr>
          <w:p w:rsidR="00697613" w:rsidRDefault="00697613">
            <w:pPr>
              <w:tabs>
                <w:tab w:val="left" w:leader="dot" w:pos="1944"/>
              </w:tabs>
              <w:spacing w:before="248" w:line="220"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Polígono</w:t>
            </w:r>
            <w:r>
              <w:rPr>
                <w:rFonts w:eastAsia="Arial"/>
                <w:color w:val="000000" w:themeColor="text1"/>
                <w:sz w:val="24"/>
                <w:szCs w:val="24"/>
                <w:lang w:eastAsia="en-US"/>
              </w:rPr>
              <w:tab/>
              <w:t xml:space="preserve"> </w:t>
            </w:r>
          </w:p>
        </w:tc>
        <w:tc>
          <w:tcPr>
            <w:tcW w:w="6224" w:type="dxa"/>
            <w:vAlign w:val="bottom"/>
            <w:hideMark/>
          </w:tcPr>
          <w:p w:rsidR="00697613" w:rsidRDefault="00697613">
            <w:pPr>
              <w:spacing w:before="250" w:line="218" w:lineRule="exact"/>
              <w:ind w:right="5501"/>
              <w:jc w:val="right"/>
              <w:textAlignment w:val="baseline"/>
              <w:rPr>
                <w:color w:val="000000" w:themeColor="text1"/>
                <w:sz w:val="24"/>
                <w:szCs w:val="24"/>
                <w:lang w:eastAsia="en-US"/>
              </w:rPr>
            </w:pPr>
            <w:r>
              <w:rPr>
                <w:color w:val="000000" w:themeColor="text1"/>
                <w:sz w:val="24"/>
                <w:szCs w:val="24"/>
                <w:lang w:eastAsia="en-US"/>
              </w:rPr>
              <w:t>6</w:t>
            </w:r>
          </w:p>
        </w:tc>
      </w:tr>
      <w:tr w:rsidR="00697613" w:rsidTr="00697613">
        <w:trPr>
          <w:trHeight w:hRule="exact" w:val="224"/>
        </w:trPr>
        <w:tc>
          <w:tcPr>
            <w:tcW w:w="2416" w:type="dxa"/>
            <w:vAlign w:val="center"/>
            <w:hideMark/>
          </w:tcPr>
          <w:p w:rsidR="00697613" w:rsidRDefault="00697613">
            <w:pPr>
              <w:tabs>
                <w:tab w:val="left" w:leader="dot" w:pos="1944"/>
              </w:tabs>
              <w:spacing w:line="206"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Parcela</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line="206" w:lineRule="exact"/>
              <w:ind w:right="5501"/>
              <w:jc w:val="right"/>
              <w:textAlignment w:val="baseline"/>
              <w:rPr>
                <w:rFonts w:eastAsia="Arial"/>
                <w:color w:val="000000" w:themeColor="text1"/>
                <w:sz w:val="24"/>
                <w:szCs w:val="24"/>
                <w:lang w:eastAsia="en-US"/>
              </w:rPr>
            </w:pPr>
            <w:r>
              <w:rPr>
                <w:rFonts w:eastAsia="Arial"/>
                <w:color w:val="000000" w:themeColor="text1"/>
                <w:sz w:val="24"/>
                <w:szCs w:val="24"/>
                <w:lang w:eastAsia="en-US"/>
              </w:rPr>
              <w:t>115</w:t>
            </w:r>
          </w:p>
        </w:tc>
      </w:tr>
      <w:tr w:rsidR="00697613" w:rsidTr="00697613">
        <w:trPr>
          <w:trHeight w:hRule="exact" w:val="237"/>
        </w:trPr>
        <w:tc>
          <w:tcPr>
            <w:tcW w:w="2416" w:type="dxa"/>
            <w:vAlign w:val="center"/>
            <w:hideMark/>
          </w:tcPr>
          <w:p w:rsidR="00697613" w:rsidRDefault="00697613">
            <w:pPr>
              <w:tabs>
                <w:tab w:val="left" w:leader="dot" w:pos="1944"/>
              </w:tabs>
              <w:spacing w:line="218" w:lineRule="exact"/>
              <w:ind w:left="40"/>
              <w:textAlignment w:val="baseline"/>
              <w:rPr>
                <w:color w:val="000000" w:themeColor="text1"/>
                <w:sz w:val="24"/>
                <w:szCs w:val="24"/>
                <w:lang w:eastAsia="en-US"/>
              </w:rPr>
            </w:pPr>
            <w:r>
              <w:rPr>
                <w:color w:val="000000" w:themeColor="text1"/>
                <w:sz w:val="24"/>
                <w:szCs w:val="24"/>
                <w:lang w:eastAsia="en-US"/>
              </w:rPr>
              <w:t xml:space="preserve">Superficie </w:t>
            </w:r>
            <w:r>
              <w:rPr>
                <w:color w:val="000000" w:themeColor="text1"/>
                <w:sz w:val="24"/>
                <w:szCs w:val="24"/>
                <w:lang w:eastAsia="en-US"/>
              </w:rPr>
              <w:tab/>
              <w:t xml:space="preserve"> </w:t>
            </w:r>
          </w:p>
        </w:tc>
        <w:tc>
          <w:tcPr>
            <w:tcW w:w="6224" w:type="dxa"/>
            <w:vAlign w:val="center"/>
            <w:hideMark/>
          </w:tcPr>
          <w:p w:rsidR="00697613" w:rsidRDefault="00697613">
            <w:pPr>
              <w:spacing w:line="218" w:lineRule="exact"/>
              <w:ind w:right="5411"/>
              <w:jc w:val="right"/>
              <w:textAlignment w:val="baseline"/>
              <w:rPr>
                <w:color w:val="000000" w:themeColor="text1"/>
                <w:sz w:val="24"/>
                <w:szCs w:val="24"/>
                <w:lang w:eastAsia="en-US"/>
              </w:rPr>
            </w:pPr>
            <w:r>
              <w:rPr>
                <w:color w:val="000000" w:themeColor="text1"/>
                <w:sz w:val="24"/>
                <w:szCs w:val="24"/>
                <w:lang w:eastAsia="en-US"/>
              </w:rPr>
              <w:t>14.912</w:t>
            </w:r>
          </w:p>
        </w:tc>
      </w:tr>
      <w:tr w:rsidR="00697613" w:rsidTr="00697613">
        <w:trPr>
          <w:trHeight w:hRule="exact" w:val="346"/>
        </w:trPr>
        <w:tc>
          <w:tcPr>
            <w:tcW w:w="2416" w:type="dxa"/>
            <w:hideMark/>
          </w:tcPr>
          <w:p w:rsidR="00697613" w:rsidRDefault="00697613">
            <w:pPr>
              <w:tabs>
                <w:tab w:val="left" w:leader="dot" w:pos="1944"/>
              </w:tabs>
              <w:spacing w:after="101" w:line="225" w:lineRule="exact"/>
              <w:ind w:left="40"/>
              <w:textAlignment w:val="baseline"/>
              <w:rPr>
                <w:color w:val="000000" w:themeColor="text1"/>
                <w:sz w:val="24"/>
                <w:szCs w:val="24"/>
                <w:lang w:eastAsia="en-US"/>
              </w:rPr>
            </w:pPr>
            <w:proofErr w:type="spellStart"/>
            <w:r>
              <w:rPr>
                <w:color w:val="000000" w:themeColor="text1"/>
                <w:sz w:val="24"/>
                <w:szCs w:val="24"/>
                <w:lang w:eastAsia="en-US"/>
              </w:rPr>
              <w:t>Sup</w:t>
            </w:r>
            <w:proofErr w:type="spellEnd"/>
            <w:r>
              <w:rPr>
                <w:color w:val="000000" w:themeColor="text1"/>
                <w:sz w:val="24"/>
                <w:szCs w:val="24"/>
                <w:lang w:eastAsia="en-US"/>
              </w:rPr>
              <w:t>. arable</w:t>
            </w:r>
            <w:r>
              <w:rPr>
                <w:color w:val="000000" w:themeColor="text1"/>
                <w:sz w:val="24"/>
                <w:szCs w:val="24"/>
                <w:lang w:eastAsia="en-US"/>
              </w:rPr>
              <w:tab/>
              <w:t xml:space="preserve"> </w:t>
            </w:r>
          </w:p>
        </w:tc>
        <w:tc>
          <w:tcPr>
            <w:tcW w:w="6224" w:type="dxa"/>
            <w:hideMark/>
          </w:tcPr>
          <w:p w:rsidR="00697613" w:rsidRDefault="00697613">
            <w:pPr>
              <w:spacing w:after="93" w:line="225" w:lineRule="exact"/>
              <w:ind w:right="5411"/>
              <w:jc w:val="right"/>
              <w:textAlignment w:val="baseline"/>
              <w:rPr>
                <w:color w:val="000000" w:themeColor="text1"/>
                <w:sz w:val="24"/>
                <w:szCs w:val="24"/>
                <w:lang w:eastAsia="en-US"/>
              </w:rPr>
            </w:pPr>
            <w:r>
              <w:rPr>
                <w:color w:val="000000" w:themeColor="text1"/>
                <w:sz w:val="24"/>
                <w:szCs w:val="24"/>
                <w:lang w:eastAsia="en-US"/>
              </w:rPr>
              <w:t>6.500</w:t>
            </w:r>
          </w:p>
        </w:tc>
      </w:tr>
      <w:tr w:rsidR="00697613" w:rsidTr="00697613">
        <w:trPr>
          <w:trHeight w:hRule="exact" w:val="345"/>
        </w:trPr>
        <w:tc>
          <w:tcPr>
            <w:tcW w:w="2416" w:type="dxa"/>
            <w:vAlign w:val="center"/>
            <w:hideMark/>
          </w:tcPr>
          <w:p w:rsidR="00697613" w:rsidRDefault="00697613">
            <w:pPr>
              <w:tabs>
                <w:tab w:val="left" w:leader="dot" w:pos="1944"/>
              </w:tabs>
              <w:spacing w:before="118" w:line="220"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Polígono</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before="141" w:line="197" w:lineRule="exact"/>
              <w:ind w:right="5501"/>
              <w:jc w:val="right"/>
              <w:textAlignment w:val="baseline"/>
              <w:rPr>
                <w:color w:val="000000" w:themeColor="text1"/>
                <w:sz w:val="24"/>
                <w:szCs w:val="24"/>
                <w:lang w:eastAsia="en-US"/>
              </w:rPr>
            </w:pPr>
            <w:r>
              <w:rPr>
                <w:color w:val="000000" w:themeColor="text1"/>
                <w:sz w:val="24"/>
                <w:szCs w:val="24"/>
                <w:lang w:eastAsia="en-US"/>
              </w:rPr>
              <w:t>6</w:t>
            </w:r>
          </w:p>
        </w:tc>
      </w:tr>
      <w:tr w:rsidR="00697613" w:rsidTr="00697613">
        <w:trPr>
          <w:trHeight w:hRule="exact" w:val="231"/>
        </w:trPr>
        <w:tc>
          <w:tcPr>
            <w:tcW w:w="2416" w:type="dxa"/>
            <w:vAlign w:val="center"/>
            <w:hideMark/>
          </w:tcPr>
          <w:p w:rsidR="00697613" w:rsidRDefault="00697613">
            <w:pPr>
              <w:tabs>
                <w:tab w:val="left" w:leader="dot" w:pos="1944"/>
              </w:tabs>
              <w:spacing w:line="220"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Parcela</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line="218" w:lineRule="exact"/>
              <w:ind w:right="5501"/>
              <w:jc w:val="right"/>
              <w:textAlignment w:val="baseline"/>
              <w:rPr>
                <w:color w:val="000000" w:themeColor="text1"/>
                <w:sz w:val="24"/>
                <w:szCs w:val="24"/>
                <w:lang w:eastAsia="en-US"/>
              </w:rPr>
            </w:pPr>
            <w:r>
              <w:rPr>
                <w:color w:val="000000" w:themeColor="text1"/>
                <w:sz w:val="24"/>
                <w:szCs w:val="24"/>
                <w:lang w:eastAsia="en-US"/>
              </w:rPr>
              <w:t>222</w:t>
            </w:r>
          </w:p>
        </w:tc>
      </w:tr>
      <w:tr w:rsidR="00697613" w:rsidTr="00697613">
        <w:trPr>
          <w:trHeight w:hRule="exact" w:val="230"/>
        </w:trPr>
        <w:tc>
          <w:tcPr>
            <w:tcW w:w="2416" w:type="dxa"/>
            <w:vAlign w:val="center"/>
            <w:hideMark/>
          </w:tcPr>
          <w:p w:rsidR="00697613" w:rsidRDefault="00697613">
            <w:pPr>
              <w:tabs>
                <w:tab w:val="left" w:leader="dot" w:pos="1944"/>
              </w:tabs>
              <w:spacing w:line="218" w:lineRule="exact"/>
              <w:ind w:left="40"/>
              <w:textAlignment w:val="baseline"/>
              <w:rPr>
                <w:color w:val="000000" w:themeColor="text1"/>
                <w:sz w:val="24"/>
                <w:szCs w:val="24"/>
                <w:lang w:eastAsia="en-US"/>
              </w:rPr>
            </w:pPr>
            <w:r>
              <w:rPr>
                <w:color w:val="000000" w:themeColor="text1"/>
                <w:sz w:val="24"/>
                <w:szCs w:val="24"/>
                <w:lang w:eastAsia="en-US"/>
              </w:rPr>
              <w:t xml:space="preserve">Superficie </w:t>
            </w:r>
            <w:r>
              <w:rPr>
                <w:color w:val="000000" w:themeColor="text1"/>
                <w:sz w:val="24"/>
                <w:szCs w:val="24"/>
                <w:lang w:eastAsia="en-US"/>
              </w:rPr>
              <w:tab/>
              <w:t xml:space="preserve"> </w:t>
            </w:r>
          </w:p>
        </w:tc>
        <w:tc>
          <w:tcPr>
            <w:tcW w:w="6224" w:type="dxa"/>
            <w:vAlign w:val="center"/>
            <w:hideMark/>
          </w:tcPr>
          <w:p w:rsidR="00697613" w:rsidRDefault="00697613">
            <w:pPr>
              <w:spacing w:line="218" w:lineRule="exact"/>
              <w:ind w:right="5411"/>
              <w:jc w:val="right"/>
              <w:textAlignment w:val="baseline"/>
              <w:rPr>
                <w:color w:val="000000" w:themeColor="text1"/>
                <w:sz w:val="24"/>
                <w:szCs w:val="24"/>
                <w:lang w:eastAsia="en-US"/>
              </w:rPr>
            </w:pPr>
            <w:r>
              <w:rPr>
                <w:color w:val="000000" w:themeColor="text1"/>
                <w:sz w:val="24"/>
                <w:szCs w:val="24"/>
                <w:lang w:eastAsia="en-US"/>
              </w:rPr>
              <w:t>6.639</w:t>
            </w:r>
          </w:p>
        </w:tc>
      </w:tr>
      <w:tr w:rsidR="00697613" w:rsidTr="00697613">
        <w:trPr>
          <w:trHeight w:hRule="exact" w:val="346"/>
        </w:trPr>
        <w:tc>
          <w:tcPr>
            <w:tcW w:w="2416" w:type="dxa"/>
            <w:hideMark/>
          </w:tcPr>
          <w:p w:rsidR="00697613" w:rsidRDefault="00697613">
            <w:pPr>
              <w:tabs>
                <w:tab w:val="left" w:leader="dot" w:pos="1944"/>
              </w:tabs>
              <w:spacing w:after="101" w:line="225" w:lineRule="exact"/>
              <w:ind w:left="40"/>
              <w:textAlignment w:val="baseline"/>
              <w:rPr>
                <w:color w:val="000000" w:themeColor="text1"/>
                <w:sz w:val="24"/>
                <w:szCs w:val="24"/>
                <w:lang w:eastAsia="en-US"/>
              </w:rPr>
            </w:pPr>
            <w:proofErr w:type="spellStart"/>
            <w:r>
              <w:rPr>
                <w:color w:val="000000" w:themeColor="text1"/>
                <w:sz w:val="24"/>
                <w:szCs w:val="24"/>
                <w:lang w:eastAsia="en-US"/>
              </w:rPr>
              <w:t>Sup</w:t>
            </w:r>
            <w:proofErr w:type="spellEnd"/>
            <w:r>
              <w:rPr>
                <w:color w:val="000000" w:themeColor="text1"/>
                <w:sz w:val="24"/>
                <w:szCs w:val="24"/>
                <w:lang w:eastAsia="en-US"/>
              </w:rPr>
              <w:t>. arable</w:t>
            </w:r>
            <w:r>
              <w:rPr>
                <w:color w:val="000000" w:themeColor="text1"/>
                <w:sz w:val="24"/>
                <w:szCs w:val="24"/>
                <w:lang w:eastAsia="en-US"/>
              </w:rPr>
              <w:tab/>
              <w:t xml:space="preserve"> </w:t>
            </w:r>
          </w:p>
        </w:tc>
        <w:tc>
          <w:tcPr>
            <w:tcW w:w="6224" w:type="dxa"/>
            <w:hideMark/>
          </w:tcPr>
          <w:p w:rsidR="00697613" w:rsidRDefault="00697613">
            <w:pPr>
              <w:spacing w:after="97" w:line="225" w:lineRule="exact"/>
              <w:ind w:right="5411"/>
              <w:jc w:val="right"/>
              <w:textAlignment w:val="baseline"/>
              <w:rPr>
                <w:color w:val="000000" w:themeColor="text1"/>
                <w:sz w:val="24"/>
                <w:szCs w:val="24"/>
                <w:lang w:eastAsia="en-US"/>
              </w:rPr>
            </w:pPr>
            <w:r>
              <w:rPr>
                <w:color w:val="000000" w:themeColor="text1"/>
                <w:sz w:val="24"/>
                <w:szCs w:val="24"/>
                <w:lang w:eastAsia="en-US"/>
              </w:rPr>
              <w:t>3.600</w:t>
            </w:r>
          </w:p>
        </w:tc>
      </w:tr>
      <w:tr w:rsidR="00697613" w:rsidTr="00697613">
        <w:trPr>
          <w:trHeight w:hRule="exact" w:val="345"/>
        </w:trPr>
        <w:tc>
          <w:tcPr>
            <w:tcW w:w="2416" w:type="dxa"/>
            <w:vAlign w:val="center"/>
            <w:hideMark/>
          </w:tcPr>
          <w:p w:rsidR="00697613" w:rsidRDefault="00697613">
            <w:pPr>
              <w:tabs>
                <w:tab w:val="left" w:leader="dot" w:pos="1944"/>
              </w:tabs>
              <w:spacing w:before="118" w:line="220"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Polígono</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before="141" w:line="197" w:lineRule="exact"/>
              <w:ind w:right="5501"/>
              <w:jc w:val="right"/>
              <w:textAlignment w:val="baseline"/>
              <w:rPr>
                <w:color w:val="000000" w:themeColor="text1"/>
                <w:sz w:val="24"/>
                <w:szCs w:val="24"/>
                <w:lang w:eastAsia="en-US"/>
              </w:rPr>
            </w:pPr>
            <w:r>
              <w:rPr>
                <w:color w:val="000000" w:themeColor="text1"/>
                <w:sz w:val="24"/>
                <w:szCs w:val="24"/>
                <w:lang w:eastAsia="en-US"/>
              </w:rPr>
              <w:t>6</w:t>
            </w:r>
          </w:p>
        </w:tc>
      </w:tr>
      <w:tr w:rsidR="00697613" w:rsidTr="00697613">
        <w:trPr>
          <w:trHeight w:hRule="exact" w:val="238"/>
        </w:trPr>
        <w:tc>
          <w:tcPr>
            <w:tcW w:w="2416" w:type="dxa"/>
            <w:vAlign w:val="center"/>
            <w:hideMark/>
          </w:tcPr>
          <w:p w:rsidR="00697613" w:rsidRDefault="00697613">
            <w:pPr>
              <w:tabs>
                <w:tab w:val="left" w:leader="dot" w:pos="1944"/>
              </w:tabs>
              <w:spacing w:line="217"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Parcela</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line="211" w:lineRule="exact"/>
              <w:ind w:right="5501"/>
              <w:jc w:val="right"/>
              <w:textAlignment w:val="baseline"/>
              <w:rPr>
                <w:color w:val="000000" w:themeColor="text1"/>
                <w:sz w:val="24"/>
                <w:szCs w:val="24"/>
                <w:lang w:eastAsia="en-US"/>
              </w:rPr>
            </w:pPr>
            <w:r>
              <w:rPr>
                <w:color w:val="000000" w:themeColor="text1"/>
                <w:sz w:val="24"/>
                <w:szCs w:val="24"/>
                <w:lang w:eastAsia="en-US"/>
              </w:rPr>
              <w:t>1.838</w:t>
            </w:r>
          </w:p>
        </w:tc>
      </w:tr>
      <w:tr w:rsidR="00697613" w:rsidTr="00697613">
        <w:trPr>
          <w:trHeight w:hRule="exact" w:val="230"/>
        </w:trPr>
        <w:tc>
          <w:tcPr>
            <w:tcW w:w="2416" w:type="dxa"/>
            <w:vAlign w:val="center"/>
            <w:hideMark/>
          </w:tcPr>
          <w:p w:rsidR="00697613" w:rsidRDefault="00697613">
            <w:pPr>
              <w:tabs>
                <w:tab w:val="left" w:leader="dot" w:pos="1944"/>
              </w:tabs>
              <w:spacing w:line="211" w:lineRule="exact"/>
              <w:ind w:left="40"/>
              <w:textAlignment w:val="baseline"/>
              <w:rPr>
                <w:color w:val="000000" w:themeColor="text1"/>
                <w:sz w:val="24"/>
                <w:szCs w:val="24"/>
                <w:lang w:eastAsia="en-US"/>
              </w:rPr>
            </w:pPr>
            <w:r>
              <w:rPr>
                <w:color w:val="000000" w:themeColor="text1"/>
                <w:sz w:val="24"/>
                <w:szCs w:val="24"/>
                <w:lang w:eastAsia="en-US"/>
              </w:rPr>
              <w:t xml:space="preserve">Superficie </w:t>
            </w:r>
            <w:r>
              <w:rPr>
                <w:color w:val="000000" w:themeColor="text1"/>
                <w:sz w:val="24"/>
                <w:szCs w:val="24"/>
                <w:lang w:eastAsia="en-US"/>
              </w:rPr>
              <w:tab/>
              <w:t xml:space="preserve"> </w:t>
            </w:r>
          </w:p>
        </w:tc>
        <w:tc>
          <w:tcPr>
            <w:tcW w:w="6224" w:type="dxa"/>
            <w:vAlign w:val="center"/>
            <w:hideMark/>
          </w:tcPr>
          <w:p w:rsidR="00697613" w:rsidRDefault="00697613">
            <w:pPr>
              <w:spacing w:line="211" w:lineRule="exact"/>
              <w:ind w:right="5411"/>
              <w:jc w:val="right"/>
              <w:textAlignment w:val="baseline"/>
              <w:rPr>
                <w:color w:val="000000" w:themeColor="text1"/>
                <w:sz w:val="24"/>
                <w:szCs w:val="24"/>
                <w:lang w:eastAsia="en-US"/>
              </w:rPr>
            </w:pPr>
            <w:r>
              <w:rPr>
                <w:color w:val="000000" w:themeColor="text1"/>
                <w:sz w:val="24"/>
                <w:szCs w:val="24"/>
                <w:lang w:eastAsia="en-US"/>
              </w:rPr>
              <w:t>3.612,61</w:t>
            </w:r>
          </w:p>
        </w:tc>
      </w:tr>
      <w:tr w:rsidR="00697613" w:rsidTr="00697613">
        <w:trPr>
          <w:trHeight w:hRule="exact" w:val="346"/>
        </w:trPr>
        <w:tc>
          <w:tcPr>
            <w:tcW w:w="2416" w:type="dxa"/>
            <w:hideMark/>
          </w:tcPr>
          <w:p w:rsidR="00697613" w:rsidRDefault="00697613">
            <w:pPr>
              <w:tabs>
                <w:tab w:val="left" w:leader="dot" w:pos="1944"/>
              </w:tabs>
              <w:spacing w:after="98" w:line="225" w:lineRule="exact"/>
              <w:ind w:left="40"/>
              <w:textAlignment w:val="baseline"/>
              <w:rPr>
                <w:color w:val="000000" w:themeColor="text1"/>
                <w:sz w:val="24"/>
                <w:szCs w:val="24"/>
                <w:lang w:eastAsia="en-US"/>
              </w:rPr>
            </w:pPr>
            <w:proofErr w:type="spellStart"/>
            <w:r>
              <w:rPr>
                <w:color w:val="000000" w:themeColor="text1"/>
                <w:sz w:val="24"/>
                <w:szCs w:val="24"/>
                <w:lang w:eastAsia="en-US"/>
              </w:rPr>
              <w:t>Sup</w:t>
            </w:r>
            <w:proofErr w:type="spellEnd"/>
            <w:r>
              <w:rPr>
                <w:color w:val="000000" w:themeColor="text1"/>
                <w:sz w:val="24"/>
                <w:szCs w:val="24"/>
                <w:lang w:eastAsia="en-US"/>
              </w:rPr>
              <w:t>. arable</w:t>
            </w:r>
            <w:r>
              <w:rPr>
                <w:color w:val="000000" w:themeColor="text1"/>
                <w:sz w:val="24"/>
                <w:szCs w:val="24"/>
                <w:lang w:eastAsia="en-US"/>
              </w:rPr>
              <w:tab/>
              <w:t xml:space="preserve"> </w:t>
            </w:r>
          </w:p>
        </w:tc>
        <w:tc>
          <w:tcPr>
            <w:tcW w:w="6224" w:type="dxa"/>
            <w:hideMark/>
          </w:tcPr>
          <w:p w:rsidR="00697613" w:rsidRDefault="00697613">
            <w:pPr>
              <w:spacing w:after="90" w:line="225" w:lineRule="exact"/>
              <w:ind w:right="5501"/>
              <w:jc w:val="right"/>
              <w:textAlignment w:val="baseline"/>
              <w:rPr>
                <w:color w:val="000000" w:themeColor="text1"/>
                <w:sz w:val="24"/>
                <w:szCs w:val="24"/>
                <w:lang w:eastAsia="en-US"/>
              </w:rPr>
            </w:pPr>
            <w:r>
              <w:rPr>
                <w:color w:val="000000" w:themeColor="text1"/>
                <w:sz w:val="24"/>
                <w:szCs w:val="24"/>
                <w:lang w:eastAsia="en-US"/>
              </w:rPr>
              <w:t>2.700</w:t>
            </w:r>
          </w:p>
        </w:tc>
      </w:tr>
      <w:tr w:rsidR="00697613" w:rsidTr="00697613">
        <w:trPr>
          <w:trHeight w:hRule="exact" w:val="346"/>
        </w:trPr>
        <w:tc>
          <w:tcPr>
            <w:tcW w:w="2416" w:type="dxa"/>
            <w:vAlign w:val="center"/>
            <w:hideMark/>
          </w:tcPr>
          <w:p w:rsidR="00697613" w:rsidRDefault="00697613">
            <w:pPr>
              <w:tabs>
                <w:tab w:val="left" w:leader="dot" w:pos="1944"/>
              </w:tabs>
              <w:spacing w:before="119" w:line="227"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Polígono</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before="121" w:line="225" w:lineRule="exact"/>
              <w:ind w:right="5501"/>
              <w:jc w:val="right"/>
              <w:textAlignment w:val="baseline"/>
              <w:rPr>
                <w:color w:val="000000" w:themeColor="text1"/>
                <w:sz w:val="24"/>
                <w:szCs w:val="24"/>
                <w:lang w:eastAsia="en-US"/>
              </w:rPr>
            </w:pPr>
            <w:r>
              <w:rPr>
                <w:color w:val="000000" w:themeColor="text1"/>
                <w:sz w:val="24"/>
                <w:szCs w:val="24"/>
                <w:lang w:eastAsia="en-US"/>
              </w:rPr>
              <w:t>6</w:t>
            </w:r>
          </w:p>
        </w:tc>
      </w:tr>
      <w:tr w:rsidR="00697613" w:rsidTr="00697613">
        <w:trPr>
          <w:trHeight w:hRule="exact" w:val="230"/>
        </w:trPr>
        <w:tc>
          <w:tcPr>
            <w:tcW w:w="2416" w:type="dxa"/>
            <w:vAlign w:val="center"/>
            <w:hideMark/>
          </w:tcPr>
          <w:p w:rsidR="00697613" w:rsidRDefault="00697613">
            <w:pPr>
              <w:tabs>
                <w:tab w:val="left" w:leader="dot" w:pos="1944"/>
              </w:tabs>
              <w:spacing w:line="213" w:lineRule="exact"/>
              <w:ind w:left="40"/>
              <w:textAlignment w:val="baseline"/>
              <w:rPr>
                <w:rFonts w:eastAsia="Arial"/>
                <w:color w:val="000000" w:themeColor="text1"/>
                <w:sz w:val="24"/>
                <w:szCs w:val="24"/>
                <w:lang w:eastAsia="en-US"/>
              </w:rPr>
            </w:pPr>
            <w:r>
              <w:rPr>
                <w:rFonts w:eastAsia="Arial"/>
                <w:color w:val="000000" w:themeColor="text1"/>
                <w:sz w:val="24"/>
                <w:szCs w:val="24"/>
                <w:lang w:eastAsia="en-US"/>
              </w:rPr>
              <w:t xml:space="preserve">Parcela </w:t>
            </w:r>
            <w:r>
              <w:rPr>
                <w:rFonts w:eastAsia="Arial"/>
                <w:color w:val="000000" w:themeColor="text1"/>
                <w:sz w:val="24"/>
                <w:szCs w:val="24"/>
                <w:lang w:eastAsia="en-US"/>
              </w:rPr>
              <w:tab/>
              <w:t xml:space="preserve"> </w:t>
            </w:r>
          </w:p>
        </w:tc>
        <w:tc>
          <w:tcPr>
            <w:tcW w:w="6224" w:type="dxa"/>
            <w:vAlign w:val="center"/>
            <w:hideMark/>
          </w:tcPr>
          <w:p w:rsidR="00697613" w:rsidRDefault="00697613">
            <w:pPr>
              <w:spacing w:line="211" w:lineRule="exact"/>
              <w:ind w:right="5501"/>
              <w:jc w:val="right"/>
              <w:textAlignment w:val="baseline"/>
              <w:rPr>
                <w:color w:val="000000" w:themeColor="text1"/>
                <w:sz w:val="24"/>
                <w:szCs w:val="24"/>
                <w:lang w:eastAsia="en-US"/>
              </w:rPr>
            </w:pPr>
            <w:r>
              <w:rPr>
                <w:color w:val="000000" w:themeColor="text1"/>
                <w:sz w:val="24"/>
                <w:szCs w:val="24"/>
                <w:lang w:eastAsia="en-US"/>
              </w:rPr>
              <w:t>1.839</w:t>
            </w:r>
          </w:p>
        </w:tc>
      </w:tr>
      <w:tr w:rsidR="00697613" w:rsidTr="00697613">
        <w:trPr>
          <w:trHeight w:hRule="exact" w:val="230"/>
        </w:trPr>
        <w:tc>
          <w:tcPr>
            <w:tcW w:w="2416" w:type="dxa"/>
            <w:vAlign w:val="center"/>
            <w:hideMark/>
          </w:tcPr>
          <w:p w:rsidR="00697613" w:rsidRDefault="00697613">
            <w:pPr>
              <w:tabs>
                <w:tab w:val="left" w:leader="dot" w:pos="1944"/>
              </w:tabs>
              <w:spacing w:line="211" w:lineRule="exact"/>
              <w:ind w:left="40"/>
              <w:textAlignment w:val="baseline"/>
              <w:rPr>
                <w:color w:val="000000" w:themeColor="text1"/>
                <w:sz w:val="24"/>
                <w:szCs w:val="24"/>
                <w:lang w:eastAsia="en-US"/>
              </w:rPr>
            </w:pPr>
            <w:r>
              <w:rPr>
                <w:color w:val="000000" w:themeColor="text1"/>
                <w:sz w:val="24"/>
                <w:szCs w:val="24"/>
                <w:lang w:eastAsia="en-US"/>
              </w:rPr>
              <w:t xml:space="preserve">Superficie </w:t>
            </w:r>
            <w:r>
              <w:rPr>
                <w:color w:val="000000" w:themeColor="text1"/>
                <w:sz w:val="24"/>
                <w:szCs w:val="24"/>
                <w:lang w:eastAsia="en-US"/>
              </w:rPr>
              <w:tab/>
              <w:t xml:space="preserve"> </w:t>
            </w:r>
          </w:p>
        </w:tc>
        <w:tc>
          <w:tcPr>
            <w:tcW w:w="6224" w:type="dxa"/>
            <w:vAlign w:val="center"/>
            <w:hideMark/>
          </w:tcPr>
          <w:p w:rsidR="00697613" w:rsidRDefault="00697613">
            <w:pPr>
              <w:spacing w:line="211" w:lineRule="exact"/>
              <w:ind w:right="5501"/>
              <w:jc w:val="right"/>
              <w:textAlignment w:val="baseline"/>
              <w:rPr>
                <w:color w:val="000000" w:themeColor="text1"/>
                <w:sz w:val="24"/>
                <w:szCs w:val="24"/>
                <w:lang w:eastAsia="en-US"/>
              </w:rPr>
            </w:pPr>
            <w:r>
              <w:rPr>
                <w:color w:val="000000" w:themeColor="text1"/>
                <w:sz w:val="24"/>
                <w:szCs w:val="24"/>
                <w:lang w:eastAsia="en-US"/>
              </w:rPr>
              <w:t>987,02</w:t>
            </w:r>
          </w:p>
        </w:tc>
      </w:tr>
      <w:tr w:rsidR="00697613" w:rsidTr="00697613">
        <w:trPr>
          <w:trHeight w:hRule="exact" w:val="254"/>
        </w:trPr>
        <w:tc>
          <w:tcPr>
            <w:tcW w:w="2416" w:type="dxa"/>
            <w:vAlign w:val="center"/>
            <w:hideMark/>
          </w:tcPr>
          <w:p w:rsidR="00697613" w:rsidRDefault="00697613">
            <w:pPr>
              <w:tabs>
                <w:tab w:val="left" w:leader="dot" w:pos="1944"/>
              </w:tabs>
              <w:spacing w:after="6" w:line="225" w:lineRule="exact"/>
              <w:ind w:left="40"/>
              <w:textAlignment w:val="baseline"/>
              <w:rPr>
                <w:color w:val="000000" w:themeColor="text1"/>
                <w:sz w:val="24"/>
                <w:szCs w:val="24"/>
                <w:lang w:eastAsia="en-US"/>
              </w:rPr>
            </w:pPr>
            <w:proofErr w:type="spellStart"/>
            <w:r>
              <w:rPr>
                <w:color w:val="000000" w:themeColor="text1"/>
                <w:sz w:val="24"/>
                <w:szCs w:val="24"/>
                <w:lang w:eastAsia="en-US"/>
              </w:rPr>
              <w:t>Sup</w:t>
            </w:r>
            <w:proofErr w:type="spellEnd"/>
            <w:r>
              <w:rPr>
                <w:color w:val="000000" w:themeColor="text1"/>
                <w:sz w:val="24"/>
                <w:szCs w:val="24"/>
                <w:lang w:eastAsia="en-US"/>
              </w:rPr>
              <w:t>. arable</w:t>
            </w:r>
            <w:r>
              <w:rPr>
                <w:color w:val="000000" w:themeColor="text1"/>
                <w:sz w:val="24"/>
                <w:szCs w:val="24"/>
                <w:lang w:eastAsia="en-US"/>
              </w:rPr>
              <w:tab/>
              <w:t xml:space="preserve"> </w:t>
            </w:r>
          </w:p>
        </w:tc>
        <w:tc>
          <w:tcPr>
            <w:tcW w:w="6224" w:type="dxa"/>
            <w:vAlign w:val="center"/>
            <w:hideMark/>
          </w:tcPr>
          <w:p w:rsidR="00697613" w:rsidRDefault="00697613">
            <w:pPr>
              <w:spacing w:line="225" w:lineRule="exact"/>
              <w:ind w:right="5501"/>
              <w:jc w:val="right"/>
              <w:textAlignment w:val="baseline"/>
              <w:rPr>
                <w:color w:val="000000" w:themeColor="text1"/>
                <w:sz w:val="24"/>
                <w:szCs w:val="24"/>
                <w:lang w:eastAsia="en-US"/>
              </w:rPr>
            </w:pPr>
            <w:r>
              <w:rPr>
                <w:color w:val="000000" w:themeColor="text1"/>
                <w:sz w:val="24"/>
                <w:szCs w:val="24"/>
                <w:lang w:eastAsia="en-US"/>
              </w:rPr>
              <w:t>900</w:t>
            </w:r>
          </w:p>
        </w:tc>
      </w:tr>
    </w:tbl>
    <w:p w:rsidR="00697613" w:rsidRDefault="00697613" w:rsidP="00697613">
      <w:pPr>
        <w:spacing w:after="196" w:line="20" w:lineRule="exact"/>
        <w:rPr>
          <w:color w:val="000000" w:themeColor="text1"/>
          <w:sz w:val="24"/>
          <w:szCs w:val="24"/>
        </w:rPr>
      </w:pPr>
    </w:p>
    <w:p w:rsidR="00697613" w:rsidRDefault="00697613" w:rsidP="00697613">
      <w:pPr>
        <w:tabs>
          <w:tab w:val="decimal" w:leader="dot" w:pos="5472"/>
        </w:tabs>
        <w:spacing w:line="222" w:lineRule="exact"/>
        <w:ind w:left="72"/>
        <w:textAlignment w:val="baseline"/>
        <w:rPr>
          <w:color w:val="000000" w:themeColor="text1"/>
          <w:sz w:val="24"/>
          <w:szCs w:val="24"/>
        </w:rPr>
      </w:pPr>
      <w:proofErr w:type="gramStart"/>
      <w:r>
        <w:rPr>
          <w:color w:val="000000" w:themeColor="text1"/>
          <w:sz w:val="24"/>
          <w:szCs w:val="24"/>
        </w:rPr>
        <w:t>Total</w:t>
      </w:r>
      <w:proofErr w:type="gramEnd"/>
      <w:r>
        <w:rPr>
          <w:color w:val="000000" w:themeColor="text1"/>
          <w:sz w:val="24"/>
          <w:szCs w:val="24"/>
        </w:rPr>
        <w:t xml:space="preserve"> superficie catastral</w:t>
      </w:r>
      <w:r>
        <w:rPr>
          <w:color w:val="000000" w:themeColor="text1"/>
          <w:sz w:val="24"/>
          <w:szCs w:val="24"/>
        </w:rPr>
        <w:tab/>
        <w:t xml:space="preserve"> 26.150,63</w:t>
      </w:r>
    </w:p>
    <w:p w:rsidR="00697613" w:rsidRDefault="00697613" w:rsidP="00697613">
      <w:pPr>
        <w:tabs>
          <w:tab w:val="decimal" w:leader="dot" w:pos="5472"/>
        </w:tabs>
        <w:spacing w:after="187" w:line="230" w:lineRule="exact"/>
        <w:ind w:left="72"/>
        <w:textAlignment w:val="baseline"/>
        <w:rPr>
          <w:color w:val="000000" w:themeColor="text1"/>
          <w:sz w:val="24"/>
          <w:szCs w:val="24"/>
        </w:rPr>
      </w:pPr>
      <w:proofErr w:type="spellStart"/>
      <w:r>
        <w:rPr>
          <w:color w:val="000000" w:themeColor="text1"/>
          <w:sz w:val="24"/>
          <w:szCs w:val="24"/>
        </w:rPr>
        <w:t>tTtal</w:t>
      </w:r>
      <w:proofErr w:type="spellEnd"/>
      <w:r>
        <w:rPr>
          <w:color w:val="000000" w:themeColor="text1"/>
          <w:sz w:val="24"/>
          <w:szCs w:val="24"/>
        </w:rPr>
        <w:t xml:space="preserve"> superficie aproximada arable</w:t>
      </w:r>
      <w:r>
        <w:rPr>
          <w:color w:val="000000" w:themeColor="text1"/>
          <w:sz w:val="24"/>
          <w:szCs w:val="24"/>
        </w:rPr>
        <w:tab/>
        <w:t xml:space="preserve"> 13.700,00</w:t>
      </w:r>
    </w:p>
    <w:p w:rsidR="00697613" w:rsidRDefault="00697613" w:rsidP="00697613">
      <w:pPr>
        <w:jc w:val="both"/>
        <w:rPr>
          <w:b/>
          <w:color w:val="000000" w:themeColor="text1"/>
          <w:u w:val="single"/>
        </w:rPr>
      </w:pPr>
    </w:p>
    <w:p w:rsidR="00697613" w:rsidRDefault="00697613" w:rsidP="00697613">
      <w:pPr>
        <w:pStyle w:val="Encabezado"/>
        <w:tabs>
          <w:tab w:val="left" w:pos="708"/>
        </w:tabs>
        <w:jc w:val="both"/>
        <w:rPr>
          <w:b/>
          <w:i/>
          <w:color w:val="000000" w:themeColor="text1"/>
          <w:sz w:val="32"/>
          <w:szCs w:val="32"/>
          <w:u w:val="single"/>
        </w:rPr>
      </w:pPr>
    </w:p>
    <w:p w:rsidR="00697613" w:rsidRDefault="00697613" w:rsidP="00697613">
      <w:pPr>
        <w:jc w:val="both"/>
        <w:rPr>
          <w:color w:val="000000" w:themeColor="text1"/>
        </w:rPr>
      </w:pPr>
    </w:p>
    <w:tbl>
      <w:tblPr>
        <w:tblW w:w="8565" w:type="dxa"/>
        <w:tblInd w:w="72" w:type="dxa"/>
        <w:tblLayout w:type="fixed"/>
        <w:tblCellMar>
          <w:left w:w="0" w:type="dxa"/>
          <w:right w:w="0" w:type="dxa"/>
        </w:tblCellMar>
        <w:tblLook w:val="04A0" w:firstRow="1" w:lastRow="0" w:firstColumn="1" w:lastColumn="0" w:noHBand="0" w:noVBand="1"/>
      </w:tblPr>
      <w:tblGrid>
        <w:gridCol w:w="2364"/>
        <w:gridCol w:w="6201"/>
      </w:tblGrid>
      <w:tr w:rsidR="00697613" w:rsidTr="00697613">
        <w:trPr>
          <w:trHeight w:hRule="exact" w:val="388"/>
        </w:trPr>
        <w:tc>
          <w:tcPr>
            <w:tcW w:w="2365" w:type="dxa"/>
            <w:tcBorders>
              <w:top w:val="nil"/>
              <w:left w:val="nil"/>
              <w:bottom w:val="single" w:sz="6" w:space="0" w:color="000000"/>
              <w:right w:val="nil"/>
            </w:tcBorders>
            <w:vAlign w:val="bottom"/>
            <w:hideMark/>
          </w:tcPr>
          <w:p w:rsidR="00697613" w:rsidRDefault="00697613">
            <w:pPr>
              <w:spacing w:before="196" w:line="185" w:lineRule="exact"/>
              <w:ind w:left="33"/>
              <w:textAlignment w:val="baseline"/>
              <w:rPr>
                <w:rFonts w:eastAsia="Arial"/>
                <w:color w:val="000000" w:themeColor="text1"/>
                <w:sz w:val="22"/>
                <w:szCs w:val="24"/>
                <w:lang w:eastAsia="en-US"/>
              </w:rPr>
            </w:pPr>
            <w:r>
              <w:rPr>
                <w:rFonts w:eastAsia="Arial"/>
                <w:color w:val="000000" w:themeColor="text1"/>
                <w:sz w:val="22"/>
                <w:szCs w:val="24"/>
                <w:lang w:eastAsia="en-US"/>
              </w:rPr>
              <w:lastRenderedPageBreak/>
              <w:t xml:space="preserve">Lote 2  </w:t>
            </w:r>
          </w:p>
        </w:tc>
        <w:tc>
          <w:tcPr>
            <w:tcW w:w="6203" w:type="dxa"/>
            <w:hideMark/>
          </w:tcPr>
          <w:p w:rsidR="00697613" w:rsidRDefault="00697613">
            <w:pPr>
              <w:spacing w:line="256" w:lineRule="auto"/>
              <w:textAlignment w:val="baseline"/>
              <w:rPr>
                <w:color w:val="000000" w:themeColor="text1"/>
                <w:sz w:val="22"/>
                <w:szCs w:val="24"/>
                <w:lang w:eastAsia="en-US"/>
              </w:rPr>
            </w:pPr>
            <w:r>
              <w:rPr>
                <w:color w:val="000000" w:themeColor="text1"/>
                <w:sz w:val="22"/>
                <w:szCs w:val="24"/>
                <w:lang w:eastAsia="en-US"/>
              </w:rPr>
              <w:t xml:space="preserve"> </w:t>
            </w:r>
          </w:p>
        </w:tc>
      </w:tr>
      <w:tr w:rsidR="00697613" w:rsidTr="00697613">
        <w:trPr>
          <w:trHeight w:hRule="exact" w:val="245"/>
        </w:trPr>
        <w:tc>
          <w:tcPr>
            <w:tcW w:w="2365" w:type="dxa"/>
            <w:tcBorders>
              <w:top w:val="single" w:sz="6" w:space="0" w:color="000000"/>
              <w:left w:val="nil"/>
              <w:bottom w:val="nil"/>
              <w:right w:val="nil"/>
            </w:tcBorders>
            <w:vAlign w:val="center"/>
            <w:hideMark/>
          </w:tcPr>
          <w:p w:rsidR="00697613" w:rsidRDefault="00697613">
            <w:pPr>
              <w:tabs>
                <w:tab w:val="left" w:leader="dot" w:pos="1944"/>
              </w:tabs>
              <w:spacing w:line="220" w:lineRule="exact"/>
              <w:ind w:left="33"/>
              <w:textAlignment w:val="baseline"/>
              <w:rPr>
                <w:rFonts w:eastAsia="Arial"/>
                <w:color w:val="000000" w:themeColor="text1"/>
                <w:sz w:val="22"/>
                <w:szCs w:val="24"/>
                <w:lang w:eastAsia="en-US"/>
              </w:rPr>
            </w:pPr>
            <w:r>
              <w:rPr>
                <w:rFonts w:eastAsia="Arial"/>
                <w:color w:val="000000" w:themeColor="text1"/>
                <w:sz w:val="22"/>
                <w:szCs w:val="24"/>
                <w:lang w:eastAsia="en-US"/>
              </w:rPr>
              <w:t>Polígono</w:t>
            </w:r>
            <w:r>
              <w:rPr>
                <w:rFonts w:eastAsia="Arial"/>
                <w:color w:val="000000" w:themeColor="text1"/>
                <w:sz w:val="22"/>
                <w:szCs w:val="24"/>
                <w:lang w:eastAsia="en-US"/>
              </w:rPr>
              <w:tab/>
              <w:t xml:space="preserve"> </w:t>
            </w:r>
          </w:p>
        </w:tc>
        <w:tc>
          <w:tcPr>
            <w:tcW w:w="6203" w:type="dxa"/>
            <w:vAlign w:val="center"/>
            <w:hideMark/>
          </w:tcPr>
          <w:p w:rsidR="00697613" w:rsidRDefault="00697613">
            <w:pPr>
              <w:spacing w:line="218" w:lineRule="exact"/>
              <w:ind w:right="5490"/>
              <w:jc w:val="right"/>
              <w:textAlignment w:val="baseline"/>
              <w:rPr>
                <w:color w:val="000000" w:themeColor="text1"/>
                <w:sz w:val="22"/>
                <w:szCs w:val="24"/>
                <w:lang w:eastAsia="en-US"/>
              </w:rPr>
            </w:pPr>
            <w:r>
              <w:rPr>
                <w:color w:val="000000" w:themeColor="text1"/>
                <w:sz w:val="22"/>
                <w:szCs w:val="24"/>
                <w:lang w:eastAsia="en-US"/>
              </w:rPr>
              <w:t>6</w:t>
            </w:r>
          </w:p>
        </w:tc>
      </w:tr>
      <w:tr w:rsidR="00697613" w:rsidTr="00697613">
        <w:trPr>
          <w:trHeight w:hRule="exact" w:val="231"/>
        </w:trPr>
        <w:tc>
          <w:tcPr>
            <w:tcW w:w="2365" w:type="dxa"/>
            <w:vAlign w:val="center"/>
            <w:hideMark/>
          </w:tcPr>
          <w:p w:rsidR="00697613" w:rsidRDefault="00697613">
            <w:pPr>
              <w:tabs>
                <w:tab w:val="left" w:leader="dot" w:pos="1944"/>
              </w:tabs>
              <w:spacing w:line="219" w:lineRule="exact"/>
              <w:ind w:left="33"/>
              <w:textAlignment w:val="baseline"/>
              <w:rPr>
                <w:rFonts w:eastAsia="Arial"/>
                <w:color w:val="000000" w:themeColor="text1"/>
                <w:sz w:val="22"/>
                <w:szCs w:val="24"/>
                <w:lang w:eastAsia="en-US"/>
              </w:rPr>
            </w:pPr>
            <w:r>
              <w:rPr>
                <w:rFonts w:eastAsia="Arial"/>
                <w:color w:val="000000" w:themeColor="text1"/>
                <w:sz w:val="22"/>
                <w:szCs w:val="24"/>
                <w:lang w:eastAsia="en-US"/>
              </w:rPr>
              <w:t xml:space="preserve">Parcela </w:t>
            </w:r>
            <w:r>
              <w:rPr>
                <w:rFonts w:eastAsia="Arial"/>
                <w:color w:val="000000" w:themeColor="text1"/>
                <w:sz w:val="22"/>
                <w:szCs w:val="24"/>
                <w:lang w:eastAsia="en-US"/>
              </w:rPr>
              <w:tab/>
              <w:t xml:space="preserve"> </w:t>
            </w:r>
          </w:p>
        </w:tc>
        <w:tc>
          <w:tcPr>
            <w:tcW w:w="6203" w:type="dxa"/>
            <w:vAlign w:val="center"/>
            <w:hideMark/>
          </w:tcPr>
          <w:p w:rsidR="00697613" w:rsidRDefault="00697613">
            <w:pPr>
              <w:spacing w:line="217" w:lineRule="exact"/>
              <w:ind w:right="5490"/>
              <w:jc w:val="right"/>
              <w:textAlignment w:val="baseline"/>
              <w:rPr>
                <w:color w:val="000000" w:themeColor="text1"/>
                <w:sz w:val="22"/>
                <w:szCs w:val="24"/>
                <w:lang w:eastAsia="en-US"/>
              </w:rPr>
            </w:pPr>
            <w:r>
              <w:rPr>
                <w:color w:val="000000" w:themeColor="text1"/>
                <w:sz w:val="22"/>
                <w:szCs w:val="24"/>
                <w:lang w:eastAsia="en-US"/>
              </w:rPr>
              <w:t>115</w:t>
            </w:r>
          </w:p>
        </w:tc>
      </w:tr>
      <w:tr w:rsidR="00697613" w:rsidTr="00697613">
        <w:trPr>
          <w:trHeight w:hRule="exact" w:val="230"/>
        </w:trPr>
        <w:tc>
          <w:tcPr>
            <w:tcW w:w="2365" w:type="dxa"/>
            <w:vAlign w:val="center"/>
            <w:hideMark/>
          </w:tcPr>
          <w:p w:rsidR="00697613" w:rsidRDefault="00697613">
            <w:pPr>
              <w:tabs>
                <w:tab w:val="left" w:leader="dot" w:pos="1944"/>
              </w:tabs>
              <w:spacing w:line="218" w:lineRule="exact"/>
              <w:ind w:left="33"/>
              <w:textAlignment w:val="baseline"/>
              <w:rPr>
                <w:color w:val="000000" w:themeColor="text1"/>
                <w:sz w:val="22"/>
                <w:szCs w:val="24"/>
                <w:lang w:eastAsia="en-US"/>
              </w:rPr>
            </w:pPr>
            <w:r>
              <w:rPr>
                <w:color w:val="000000" w:themeColor="text1"/>
                <w:sz w:val="22"/>
                <w:szCs w:val="24"/>
                <w:lang w:eastAsia="en-US"/>
              </w:rPr>
              <w:t xml:space="preserve">Superficie </w:t>
            </w:r>
            <w:r>
              <w:rPr>
                <w:color w:val="000000" w:themeColor="text1"/>
                <w:sz w:val="22"/>
                <w:szCs w:val="24"/>
                <w:lang w:eastAsia="en-US"/>
              </w:rPr>
              <w:tab/>
              <w:t xml:space="preserve"> </w:t>
            </w:r>
          </w:p>
        </w:tc>
        <w:tc>
          <w:tcPr>
            <w:tcW w:w="6203" w:type="dxa"/>
            <w:vAlign w:val="center"/>
            <w:hideMark/>
          </w:tcPr>
          <w:p w:rsidR="00697613" w:rsidRDefault="00697613">
            <w:pPr>
              <w:spacing w:line="218" w:lineRule="exact"/>
              <w:ind w:right="5490"/>
              <w:jc w:val="right"/>
              <w:textAlignment w:val="baseline"/>
              <w:rPr>
                <w:color w:val="000000" w:themeColor="text1"/>
                <w:sz w:val="22"/>
                <w:szCs w:val="24"/>
                <w:lang w:eastAsia="en-US"/>
              </w:rPr>
            </w:pPr>
            <w:r>
              <w:rPr>
                <w:color w:val="000000" w:themeColor="text1"/>
                <w:sz w:val="22"/>
                <w:szCs w:val="24"/>
                <w:lang w:eastAsia="en-US"/>
              </w:rPr>
              <w:t>14.912</w:t>
            </w:r>
          </w:p>
        </w:tc>
      </w:tr>
      <w:tr w:rsidR="00697613" w:rsidTr="00697613">
        <w:trPr>
          <w:trHeight w:hRule="exact" w:val="250"/>
        </w:trPr>
        <w:tc>
          <w:tcPr>
            <w:tcW w:w="2365" w:type="dxa"/>
            <w:vAlign w:val="center"/>
            <w:hideMark/>
          </w:tcPr>
          <w:p w:rsidR="00697613" w:rsidRDefault="00697613">
            <w:pPr>
              <w:tabs>
                <w:tab w:val="left" w:leader="dot" w:pos="1944"/>
              </w:tabs>
              <w:spacing w:line="223" w:lineRule="exact"/>
              <w:ind w:left="33"/>
              <w:textAlignment w:val="baseline"/>
              <w:rPr>
                <w:color w:val="000000" w:themeColor="text1"/>
                <w:sz w:val="22"/>
                <w:szCs w:val="24"/>
                <w:lang w:eastAsia="en-US"/>
              </w:rPr>
            </w:pPr>
            <w:proofErr w:type="spellStart"/>
            <w:r>
              <w:rPr>
                <w:color w:val="000000" w:themeColor="text1"/>
                <w:sz w:val="22"/>
                <w:szCs w:val="24"/>
                <w:lang w:eastAsia="en-US"/>
              </w:rPr>
              <w:t>Sup</w:t>
            </w:r>
            <w:proofErr w:type="spellEnd"/>
            <w:r>
              <w:rPr>
                <w:color w:val="000000" w:themeColor="text1"/>
                <w:sz w:val="22"/>
                <w:szCs w:val="24"/>
                <w:lang w:eastAsia="en-US"/>
              </w:rPr>
              <w:t>. arable</w:t>
            </w:r>
            <w:r>
              <w:rPr>
                <w:color w:val="000000" w:themeColor="text1"/>
                <w:sz w:val="22"/>
                <w:szCs w:val="24"/>
                <w:lang w:eastAsia="en-US"/>
              </w:rPr>
              <w:tab/>
              <w:t xml:space="preserve"> </w:t>
            </w:r>
          </w:p>
        </w:tc>
        <w:tc>
          <w:tcPr>
            <w:tcW w:w="6203" w:type="dxa"/>
            <w:vAlign w:val="center"/>
            <w:hideMark/>
          </w:tcPr>
          <w:p w:rsidR="00697613" w:rsidRDefault="00697613">
            <w:pPr>
              <w:spacing w:line="215" w:lineRule="exact"/>
              <w:ind w:right="5490"/>
              <w:jc w:val="right"/>
              <w:textAlignment w:val="baseline"/>
              <w:rPr>
                <w:color w:val="000000" w:themeColor="text1"/>
                <w:sz w:val="22"/>
                <w:szCs w:val="24"/>
                <w:lang w:eastAsia="en-US"/>
              </w:rPr>
            </w:pPr>
            <w:r>
              <w:rPr>
                <w:color w:val="000000" w:themeColor="text1"/>
                <w:sz w:val="22"/>
                <w:szCs w:val="24"/>
                <w:lang w:eastAsia="en-US"/>
              </w:rPr>
              <w:t>7.400</w:t>
            </w:r>
          </w:p>
        </w:tc>
      </w:tr>
    </w:tbl>
    <w:p w:rsidR="00697613" w:rsidRDefault="00697613" w:rsidP="00697613">
      <w:pPr>
        <w:spacing w:after="196" w:line="20" w:lineRule="exact"/>
        <w:rPr>
          <w:color w:val="000000" w:themeColor="text1"/>
          <w:sz w:val="22"/>
          <w:szCs w:val="24"/>
        </w:rPr>
      </w:pPr>
    </w:p>
    <w:p w:rsidR="00697613" w:rsidRDefault="00697613" w:rsidP="00697613">
      <w:pPr>
        <w:tabs>
          <w:tab w:val="decimal" w:leader="dot" w:pos="5112"/>
        </w:tabs>
        <w:spacing w:line="230" w:lineRule="exact"/>
        <w:ind w:left="72"/>
        <w:textAlignment w:val="baseline"/>
        <w:rPr>
          <w:color w:val="000000" w:themeColor="text1"/>
          <w:sz w:val="22"/>
          <w:szCs w:val="24"/>
        </w:rPr>
      </w:pPr>
      <w:proofErr w:type="gramStart"/>
      <w:r>
        <w:rPr>
          <w:color w:val="000000" w:themeColor="text1"/>
          <w:sz w:val="22"/>
          <w:szCs w:val="24"/>
        </w:rPr>
        <w:t>Total</w:t>
      </w:r>
      <w:proofErr w:type="gramEnd"/>
      <w:r>
        <w:rPr>
          <w:color w:val="000000" w:themeColor="text1"/>
          <w:sz w:val="22"/>
          <w:szCs w:val="24"/>
        </w:rPr>
        <w:t xml:space="preserve"> superficie catastral</w:t>
      </w:r>
      <w:r>
        <w:rPr>
          <w:color w:val="000000" w:themeColor="text1"/>
          <w:sz w:val="22"/>
          <w:szCs w:val="24"/>
        </w:rPr>
        <w:tab/>
        <w:t>14.912</w:t>
      </w:r>
    </w:p>
    <w:p w:rsidR="00697613" w:rsidRDefault="00697613" w:rsidP="00697613">
      <w:pPr>
        <w:tabs>
          <w:tab w:val="decimal" w:leader="dot" w:pos="5112"/>
        </w:tabs>
        <w:spacing w:before="2" w:after="749" w:line="230" w:lineRule="exact"/>
        <w:ind w:left="72"/>
        <w:textAlignment w:val="baseline"/>
        <w:rPr>
          <w:color w:val="000000" w:themeColor="text1"/>
          <w:sz w:val="22"/>
          <w:szCs w:val="24"/>
        </w:rPr>
      </w:pPr>
      <w:proofErr w:type="gramStart"/>
      <w:r>
        <w:rPr>
          <w:color w:val="000000" w:themeColor="text1"/>
          <w:sz w:val="22"/>
          <w:szCs w:val="24"/>
        </w:rPr>
        <w:t>Total</w:t>
      </w:r>
      <w:proofErr w:type="gramEnd"/>
      <w:r>
        <w:rPr>
          <w:color w:val="000000" w:themeColor="text1"/>
          <w:sz w:val="22"/>
          <w:szCs w:val="24"/>
        </w:rPr>
        <w:t xml:space="preserve"> superficie aproximada arable</w:t>
      </w:r>
      <w:r>
        <w:rPr>
          <w:color w:val="000000" w:themeColor="text1"/>
          <w:sz w:val="22"/>
          <w:szCs w:val="24"/>
        </w:rPr>
        <w:tab/>
        <w:t xml:space="preserve"> 7.400</w:t>
      </w:r>
    </w:p>
    <w:p w:rsidR="00697613" w:rsidRDefault="00697613" w:rsidP="00697613">
      <w:pPr>
        <w:pStyle w:val="Textoindependiente"/>
        <w:tabs>
          <w:tab w:val="left" w:leader="dot" w:pos="4253"/>
          <w:tab w:val="left" w:leader="dot" w:pos="6521"/>
        </w:tabs>
        <w:jc w:val="both"/>
        <w:rPr>
          <w:b w:val="0"/>
          <w:color w:val="000000" w:themeColor="text1"/>
          <w:sz w:val="20"/>
          <w:szCs w:val="24"/>
        </w:rPr>
      </w:pPr>
      <w:r>
        <w:rPr>
          <w:b w:val="0"/>
          <w:color w:val="000000" w:themeColor="text1"/>
          <w:szCs w:val="24"/>
        </w:rPr>
        <w:t>3.- Duración del contrato: la duración del contrato será de 4 años, finalizando el contrato el día 1 de septiembre de 2.020.</w:t>
      </w:r>
    </w:p>
    <w:p w:rsidR="00697613" w:rsidRDefault="00697613" w:rsidP="00697613">
      <w:pPr>
        <w:jc w:val="both"/>
        <w:rPr>
          <w:color w:val="000000" w:themeColor="text1"/>
          <w:sz w:val="24"/>
          <w:lang w:val="es-ES_tradnl"/>
        </w:rPr>
      </w:pPr>
    </w:p>
    <w:p w:rsidR="00697613" w:rsidRDefault="00697613" w:rsidP="00697613">
      <w:pPr>
        <w:jc w:val="both"/>
        <w:rPr>
          <w:color w:val="000000" w:themeColor="text1"/>
          <w:sz w:val="24"/>
        </w:rPr>
      </w:pPr>
    </w:p>
    <w:p w:rsidR="00697613" w:rsidRDefault="00697613" w:rsidP="00697613">
      <w:pPr>
        <w:pStyle w:val="Textoindependiente"/>
        <w:tabs>
          <w:tab w:val="left" w:leader="dot" w:pos="4253"/>
          <w:tab w:val="left" w:leader="dot" w:pos="6521"/>
        </w:tabs>
        <w:jc w:val="both"/>
        <w:rPr>
          <w:b w:val="0"/>
          <w:color w:val="000000" w:themeColor="text1"/>
          <w:sz w:val="20"/>
          <w:szCs w:val="24"/>
        </w:rPr>
      </w:pPr>
      <w:r>
        <w:rPr>
          <w:b w:val="0"/>
          <w:color w:val="000000" w:themeColor="text1"/>
          <w:szCs w:val="24"/>
        </w:rPr>
        <w:t>4.-Tipo de licitación</w:t>
      </w:r>
      <w:r>
        <w:rPr>
          <w:color w:val="000000" w:themeColor="text1"/>
          <w:szCs w:val="24"/>
        </w:rPr>
        <w:t xml:space="preserve">: </w:t>
      </w:r>
      <w:r>
        <w:rPr>
          <w:b w:val="0"/>
          <w:color w:val="000000" w:themeColor="text1"/>
          <w:szCs w:val="24"/>
        </w:rPr>
        <w:t xml:space="preserve">el tipo de licitación se cifra en: ciento </w:t>
      </w:r>
      <w:proofErr w:type="gramStart"/>
      <w:r>
        <w:rPr>
          <w:b w:val="0"/>
          <w:color w:val="000000" w:themeColor="text1"/>
          <w:szCs w:val="24"/>
        </w:rPr>
        <w:t>cincuenta  euros</w:t>
      </w:r>
      <w:proofErr w:type="gramEnd"/>
      <w:r>
        <w:rPr>
          <w:b w:val="0"/>
          <w:color w:val="000000" w:themeColor="text1"/>
          <w:szCs w:val="24"/>
        </w:rPr>
        <w:t xml:space="preserve">  con cero céntimos (150,00) / ha. / año, pudiéndose presentar ofertas únicamente al alza.</w:t>
      </w:r>
    </w:p>
    <w:p w:rsidR="00697613" w:rsidRDefault="00697613" w:rsidP="00697613">
      <w:pPr>
        <w:pStyle w:val="Textoindependiente"/>
        <w:tabs>
          <w:tab w:val="left" w:leader="dot" w:pos="4253"/>
          <w:tab w:val="left" w:leader="dot" w:pos="6521"/>
        </w:tabs>
        <w:jc w:val="both"/>
        <w:rPr>
          <w:color w:val="000000" w:themeColor="text1"/>
        </w:rPr>
      </w:pPr>
    </w:p>
    <w:p w:rsidR="00697613" w:rsidRDefault="00697613" w:rsidP="00697613">
      <w:pPr>
        <w:tabs>
          <w:tab w:val="left" w:pos="426"/>
          <w:tab w:val="left" w:pos="3119"/>
        </w:tabs>
        <w:spacing w:before="100" w:beforeAutospacing="1" w:after="100" w:afterAutospacing="1"/>
        <w:jc w:val="both"/>
        <w:rPr>
          <w:color w:val="000000" w:themeColor="text1"/>
          <w:sz w:val="24"/>
          <w:szCs w:val="24"/>
        </w:rPr>
      </w:pPr>
      <w:r>
        <w:rPr>
          <w:color w:val="000000" w:themeColor="text1"/>
          <w:sz w:val="24"/>
          <w:szCs w:val="24"/>
        </w:rPr>
        <w:t>5.-</w:t>
      </w:r>
      <w:r>
        <w:rPr>
          <w:color w:val="000000" w:themeColor="text1"/>
          <w:sz w:val="24"/>
          <w:szCs w:val="24"/>
        </w:rPr>
        <w:tab/>
        <w:t>Expediente: se halla de manifiesto en la secretaría municipal del Ayuntamiento de Ribera Alta (</w:t>
      </w:r>
      <w:proofErr w:type="spellStart"/>
      <w:r>
        <w:rPr>
          <w:color w:val="000000" w:themeColor="text1"/>
          <w:sz w:val="24"/>
          <w:szCs w:val="24"/>
        </w:rPr>
        <w:t>Pobes</w:t>
      </w:r>
      <w:proofErr w:type="spellEnd"/>
      <w:r>
        <w:rPr>
          <w:color w:val="000000" w:themeColor="text1"/>
          <w:sz w:val="24"/>
          <w:szCs w:val="24"/>
        </w:rPr>
        <w:t>)</w:t>
      </w:r>
    </w:p>
    <w:p w:rsidR="00697613" w:rsidRDefault="00697613" w:rsidP="00697613">
      <w:pPr>
        <w:tabs>
          <w:tab w:val="left" w:pos="426"/>
          <w:tab w:val="left" w:pos="3119"/>
        </w:tabs>
        <w:spacing w:before="100" w:beforeAutospacing="1" w:after="100" w:afterAutospacing="1"/>
        <w:jc w:val="both"/>
        <w:rPr>
          <w:color w:val="000000" w:themeColor="text1"/>
          <w:sz w:val="24"/>
          <w:szCs w:val="24"/>
        </w:rPr>
      </w:pPr>
      <w:r>
        <w:rPr>
          <w:color w:val="000000" w:themeColor="text1"/>
          <w:sz w:val="24"/>
          <w:szCs w:val="24"/>
        </w:rPr>
        <w:t>6.-</w:t>
      </w:r>
      <w:r>
        <w:rPr>
          <w:color w:val="000000" w:themeColor="text1"/>
          <w:sz w:val="24"/>
          <w:szCs w:val="24"/>
        </w:rPr>
        <w:tab/>
        <w:t xml:space="preserve">Garantías: la provisional 4 por ciento del tipo de licitación. La definitiva será el 6 por </w:t>
      </w:r>
      <w:proofErr w:type="gramStart"/>
      <w:r>
        <w:rPr>
          <w:color w:val="000000" w:themeColor="text1"/>
          <w:sz w:val="24"/>
          <w:szCs w:val="24"/>
        </w:rPr>
        <w:t>ciento  de</w:t>
      </w:r>
      <w:proofErr w:type="gramEnd"/>
      <w:r>
        <w:rPr>
          <w:color w:val="000000" w:themeColor="text1"/>
          <w:sz w:val="24"/>
          <w:szCs w:val="24"/>
        </w:rPr>
        <w:t xml:space="preserve"> la licitación</w:t>
      </w:r>
    </w:p>
    <w:p w:rsidR="00697613" w:rsidRDefault="00697613" w:rsidP="00697613">
      <w:pPr>
        <w:pStyle w:val="Textoindependiente"/>
        <w:spacing w:before="100" w:beforeAutospacing="1" w:after="100" w:afterAutospacing="1"/>
        <w:jc w:val="both"/>
        <w:rPr>
          <w:b w:val="0"/>
          <w:color w:val="000000" w:themeColor="text1"/>
          <w:sz w:val="20"/>
          <w:szCs w:val="24"/>
        </w:rPr>
      </w:pPr>
      <w:r>
        <w:rPr>
          <w:b w:val="0"/>
          <w:color w:val="000000" w:themeColor="text1"/>
          <w:szCs w:val="24"/>
        </w:rPr>
        <w:t>7.-</w:t>
      </w:r>
      <w:r>
        <w:rPr>
          <w:b w:val="0"/>
          <w:color w:val="000000" w:themeColor="text1"/>
          <w:szCs w:val="24"/>
        </w:rPr>
        <w:tab/>
        <w:t>Presentación de ofertas: se presentarán en las oficinas del ayuntamiento de Ribera Alta durante el plazo de 26 días naturales, entre las 9:00 y las 13:00 horas, contados a partir del siguiente al de su publicación en el BOTHA (excepto sábados).</w:t>
      </w:r>
    </w:p>
    <w:p w:rsidR="00697613" w:rsidRDefault="00697613" w:rsidP="00697613">
      <w:pPr>
        <w:tabs>
          <w:tab w:val="left" w:pos="426"/>
          <w:tab w:val="left" w:pos="3119"/>
        </w:tabs>
        <w:spacing w:before="100" w:beforeAutospacing="1" w:after="100" w:afterAutospacing="1"/>
        <w:jc w:val="both"/>
        <w:rPr>
          <w:color w:val="000000" w:themeColor="text1"/>
          <w:sz w:val="24"/>
          <w:szCs w:val="24"/>
        </w:rPr>
      </w:pPr>
      <w:r>
        <w:rPr>
          <w:color w:val="000000" w:themeColor="text1"/>
          <w:sz w:val="24"/>
          <w:szCs w:val="24"/>
        </w:rPr>
        <w:t>8.-</w:t>
      </w:r>
      <w:r>
        <w:rPr>
          <w:color w:val="000000" w:themeColor="text1"/>
          <w:sz w:val="24"/>
          <w:szCs w:val="24"/>
        </w:rPr>
        <w:tab/>
        <w:t>Documentación a presentar: la que figure en el pliego de cláusulas administrativas.</w:t>
      </w:r>
    </w:p>
    <w:p w:rsidR="00697613" w:rsidRDefault="00697613" w:rsidP="00697613">
      <w:pPr>
        <w:tabs>
          <w:tab w:val="left" w:pos="426"/>
        </w:tabs>
        <w:spacing w:before="100" w:beforeAutospacing="1" w:after="100" w:afterAutospacing="1"/>
        <w:jc w:val="both"/>
        <w:rPr>
          <w:color w:val="000000" w:themeColor="text1"/>
          <w:sz w:val="24"/>
          <w:szCs w:val="24"/>
        </w:rPr>
      </w:pPr>
      <w:r>
        <w:rPr>
          <w:color w:val="000000" w:themeColor="text1"/>
          <w:sz w:val="24"/>
          <w:szCs w:val="24"/>
        </w:rPr>
        <w:t>9.-</w:t>
      </w:r>
      <w:r>
        <w:rPr>
          <w:color w:val="000000" w:themeColor="text1"/>
          <w:sz w:val="24"/>
          <w:szCs w:val="24"/>
        </w:rPr>
        <w:tab/>
        <w:t>Apertura de plicas: en el ayuntamiento de Ribera Alta, a las 13:30 horas del siguiente día hábil en que finalice el plazo señalado para la presentación de proposiciones.</w:t>
      </w:r>
    </w:p>
    <w:p w:rsidR="00697613" w:rsidRDefault="00697613" w:rsidP="00697613">
      <w:pPr>
        <w:tabs>
          <w:tab w:val="left" w:pos="426"/>
        </w:tabs>
        <w:spacing w:before="100" w:beforeAutospacing="1" w:after="100" w:afterAutospacing="1"/>
        <w:jc w:val="both"/>
        <w:rPr>
          <w:color w:val="000000" w:themeColor="text1"/>
          <w:sz w:val="24"/>
          <w:szCs w:val="24"/>
        </w:rPr>
      </w:pPr>
      <w:r>
        <w:rPr>
          <w:color w:val="000000" w:themeColor="text1"/>
          <w:sz w:val="24"/>
          <w:szCs w:val="24"/>
        </w:rPr>
        <w:t>10.-</w:t>
      </w:r>
      <w:r>
        <w:rPr>
          <w:color w:val="000000" w:themeColor="text1"/>
          <w:sz w:val="24"/>
          <w:szCs w:val="24"/>
        </w:rPr>
        <w:tab/>
        <w:t>Otras informaciones: ver pliego de cláusulas administrativas.</w:t>
      </w:r>
    </w:p>
    <w:p w:rsidR="00697613" w:rsidRDefault="00697613" w:rsidP="00697613">
      <w:pPr>
        <w:tabs>
          <w:tab w:val="left" w:pos="426"/>
        </w:tabs>
        <w:spacing w:before="100" w:beforeAutospacing="1" w:after="100" w:afterAutospacing="1"/>
        <w:jc w:val="both"/>
        <w:rPr>
          <w:color w:val="000000" w:themeColor="text1"/>
          <w:sz w:val="24"/>
          <w:szCs w:val="24"/>
        </w:rPr>
      </w:pPr>
      <w:r>
        <w:rPr>
          <w:color w:val="000000" w:themeColor="text1"/>
          <w:sz w:val="24"/>
          <w:szCs w:val="24"/>
        </w:rPr>
        <w:t>11.-</w:t>
      </w:r>
      <w:r>
        <w:rPr>
          <w:color w:val="000000" w:themeColor="text1"/>
          <w:sz w:val="24"/>
          <w:szCs w:val="24"/>
        </w:rPr>
        <w:tab/>
        <w:t>Gastos de anuncios: serán de cuenta del adjudicatario.</w:t>
      </w:r>
    </w:p>
    <w:p w:rsidR="00697613" w:rsidRDefault="00697613" w:rsidP="00697613">
      <w:pPr>
        <w:rPr>
          <w:color w:val="000000" w:themeColor="text1"/>
        </w:rPr>
      </w:pPr>
      <w:r>
        <w:rPr>
          <w:color w:val="000000" w:themeColor="text1"/>
          <w:sz w:val="24"/>
          <w:szCs w:val="24"/>
        </w:rPr>
        <w:t xml:space="preserve">En </w:t>
      </w:r>
      <w:proofErr w:type="spellStart"/>
      <w:r>
        <w:rPr>
          <w:color w:val="000000" w:themeColor="text1"/>
          <w:sz w:val="24"/>
          <w:szCs w:val="24"/>
        </w:rPr>
        <w:t>Pobes</w:t>
      </w:r>
      <w:proofErr w:type="spellEnd"/>
      <w:r>
        <w:rPr>
          <w:color w:val="000000" w:themeColor="text1"/>
          <w:sz w:val="24"/>
          <w:szCs w:val="24"/>
        </w:rPr>
        <w:t>, a 19 de septiembre de 2016 - El alcalde-presidente Jesús Berganza González</w:t>
      </w:r>
    </w:p>
    <w:p w:rsidR="00CD4831" w:rsidRDefault="00CD4831" w:rsidP="00CD4831">
      <w:pPr>
        <w:spacing w:before="100" w:beforeAutospacing="1" w:after="100" w:afterAutospacing="1"/>
        <w:jc w:val="both"/>
        <w:rPr>
          <w:i/>
          <w:sz w:val="24"/>
          <w:szCs w:val="24"/>
          <w:u w:val="single"/>
        </w:rPr>
      </w:pPr>
      <w:bookmarkStart w:id="0" w:name="_GoBack"/>
      <w:bookmarkEnd w:id="0"/>
    </w:p>
    <w:p w:rsidR="00CD4831" w:rsidRDefault="00CD4831" w:rsidP="00CD4831">
      <w:pPr>
        <w:spacing w:before="100" w:beforeAutospacing="1" w:after="100" w:afterAutospacing="1"/>
        <w:jc w:val="both"/>
        <w:rPr>
          <w:i/>
          <w:sz w:val="24"/>
          <w:szCs w:val="24"/>
          <w:u w:val="single"/>
        </w:rPr>
      </w:pPr>
    </w:p>
    <w:p w:rsidR="00642EF9" w:rsidRDefault="00642EF9"/>
    <w:sectPr w:rsidR="00642E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31"/>
    <w:rsid w:val="005E5DC7"/>
    <w:rsid w:val="00642EF9"/>
    <w:rsid w:val="00663EF1"/>
    <w:rsid w:val="00697613"/>
    <w:rsid w:val="00A302CD"/>
    <w:rsid w:val="00AF4157"/>
    <w:rsid w:val="00B266CE"/>
    <w:rsid w:val="00BC4DA3"/>
    <w:rsid w:val="00CD4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7A843-47A5-4452-8DF8-11B6B0F2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83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D4831"/>
    <w:pPr>
      <w:tabs>
        <w:tab w:val="center" w:pos="4252"/>
        <w:tab w:val="right" w:pos="8504"/>
      </w:tabs>
    </w:pPr>
    <w:rPr>
      <w:sz w:val="24"/>
      <w:lang w:val="es-ES_tradnl"/>
    </w:rPr>
  </w:style>
  <w:style w:type="character" w:customStyle="1" w:styleId="EncabezadoCar">
    <w:name w:val="Encabezado Car"/>
    <w:basedOn w:val="Fuentedeprrafopredeter"/>
    <w:link w:val="Encabezado"/>
    <w:semiHidden/>
    <w:rsid w:val="00CD4831"/>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nhideWhenUsed/>
    <w:rsid w:val="00CD4831"/>
    <w:pPr>
      <w:jc w:val="center"/>
    </w:pPr>
    <w:rPr>
      <w:b/>
      <w:bCs/>
      <w:sz w:val="24"/>
      <w:lang w:val="es-ES_tradnl"/>
    </w:rPr>
  </w:style>
  <w:style w:type="character" w:customStyle="1" w:styleId="TextoindependienteCar">
    <w:name w:val="Texto independiente Car"/>
    <w:basedOn w:val="Fuentedeprrafopredeter"/>
    <w:link w:val="Textoindependiente"/>
    <w:rsid w:val="00CD4831"/>
    <w:rPr>
      <w:rFonts w:ascii="Times New Roman" w:eastAsia="Times New Roman" w:hAnsi="Times New Roman" w:cs="Times New Roman"/>
      <w:b/>
      <w:bCs/>
      <w:sz w:val="24"/>
      <w:szCs w:val="20"/>
      <w:lang w:val="es-ES_tradnl" w:eastAsia="es-ES"/>
    </w:rPr>
  </w:style>
  <w:style w:type="paragraph" w:styleId="Textoindependiente2">
    <w:name w:val="Body Text 2"/>
    <w:basedOn w:val="Normal"/>
    <w:link w:val="Textoindependiente2Car"/>
    <w:semiHidden/>
    <w:unhideWhenUsed/>
    <w:rsid w:val="00CD4831"/>
    <w:pPr>
      <w:spacing w:after="120" w:line="480" w:lineRule="auto"/>
    </w:pPr>
  </w:style>
  <w:style w:type="character" w:customStyle="1" w:styleId="Textoindependiente2Car">
    <w:name w:val="Texto independiente 2 Car"/>
    <w:basedOn w:val="Fuentedeprrafopredeter"/>
    <w:link w:val="Textoindependiente2"/>
    <w:semiHidden/>
    <w:rsid w:val="00CD48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63E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EF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2522">
      <w:bodyDiv w:val="1"/>
      <w:marLeft w:val="0"/>
      <w:marRight w:val="0"/>
      <w:marTop w:val="0"/>
      <w:marBottom w:val="0"/>
      <w:divBdr>
        <w:top w:val="none" w:sz="0" w:space="0" w:color="auto"/>
        <w:left w:val="none" w:sz="0" w:space="0" w:color="auto"/>
        <w:bottom w:val="none" w:sz="0" w:space="0" w:color="auto"/>
        <w:right w:val="none" w:sz="0" w:space="0" w:color="auto"/>
      </w:divBdr>
    </w:div>
    <w:div w:id="1281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7</cp:revision>
  <cp:lastPrinted>2016-09-19T12:56:00Z</cp:lastPrinted>
  <dcterms:created xsi:type="dcterms:W3CDTF">2016-08-30T08:16:00Z</dcterms:created>
  <dcterms:modified xsi:type="dcterms:W3CDTF">2016-09-20T07:11:00Z</dcterms:modified>
</cp:coreProperties>
</file>